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208</w:t>
      </w:r>
    </w:p>
    <w:p>
      <w:r>
        <w:t>Bundesgericht (BGE), 1993-06-17, FR</w:t>
      </w:r>
    </w:p>
    <w:p>
      <w:r>
        <w:rPr>
          <w:b/>
        </w:rPr>
        <w:t xml:space="preserve">Quelle: </w:t>
      </w:r>
      <w:r>
        <w:t>https://mcp.opencaselaw.ch/entscheid/bge_119 II 208</w:t>
      </w:r>
    </w:p>
    <w:p>
      <w:r>
        <w:t>FR: ATF 119 II 208</w:t>
      </w:r>
    </w:p>
    <w:p>
      <w:r>
        <w:t>IT: DTF 119 II 208</w:t>
      </w:r>
    </w:p>
    <w:p>
      <w:pPr>
        <w:pStyle w:val="Heading2"/>
      </w:pPr>
      <w:r>
        <w:t>Regeste</w:t>
      </w:r>
    </w:p>
    <w:p>
      <w:r>
        <w:t>Regeste Teilweise Ungültigerklärung einer testamentarischen Anordnung wegen Motivirrtums. 1. Die Verfügungen von Todes wegen, die der Erblasser unter dem Einfluss eines Irrtums errichtet hat, sind ungültig (Art. 469 Abs. 1 ZGB); sie können gemäss Art. 519 Abs. 1 Ziff. 2 ZGB für ungültig erklärt werden. In Betracht fallen kann jeder Motivirrtum, der die Verfügung entscheidend beeinflusst hat, sofern als wahrscheinlich dargetan wird, dass der Erblasser bei Kenntnis der Sachlage die Aufhebung der Verfügung ihrem unveränderten Fortbestand vorgezogen hätte. Eine mangelhafte Verfügung kann teilweise ungültig erklärt werden (Zusammenfassung der Rechtsprechung und Lehre) (E. 3bb). 2. Der Pflichtteilserbe, der sich durch eine letztwillige Verfügung benachteiligt fühlt, kann in erster Linie die Ungültigerklärung der Verfügung verlangen, wenn er diese für mangelhaft hält, und subsidiär deren Herabsetzung; dringt er mit seinem Hauptantrag durch, erlangt er nicht nur seinen Pflichtteil, sondern vielmehr seinen gesetzlichen Erbteil (E. 3cc).</w:t>
      </w:r>
    </w:p>
    <w:p>
      <w:pPr>
        <w:pStyle w:val="Heading2"/>
      </w:pPr>
      <w:r>
        <w:t>Erwägungen</w:t>
      </w:r>
    </w:p>
    <w:p>
      <w:r>
        <w:rPr>
          <w:b/>
        </w:rPr>
        <w:t>E. 3</w:t>
      </w:r>
    </w:p>
    <w:p>
      <w:r>
        <w:t>bb) D'après l' art. 469 al. 1 CC , les dispositions pour cause de mort que leur auteur a faites sous l'empire d'une erreur sont nulles; elles peuvent être annulées en vertu de l' art. 519 al. 1 ch. 2 CC . Toute erreur sur les motifs peut être retenue, dans la mesure où elle a exercé une influence déterminante sur les dispositions. Selon la jurisprudence, l'annulation d'un testament pour cause d'erreur sur les motifs est subordonnée à la condition que le demandeur rende vraisemblable BGE 119 II 208 S. 211 que le testateur, s'il avait connu la situation réelle, aurait préféré supprimer la disposition plutôt que de la maintenir telle quelle; point n'est besoin que l'erreur soit essentielle au sens des art. 23 ss CO ( ATF 94 II 140 /141, qui confirme ATF 74 II 284 ss; cf. ESCHER, ad art. 469, p. 134 ss; PIOTET, Droit successoral, Traité de droit privé suisse, Volume IV, p. 201/202; DRUEY, Grundriss des Erbrechts, 3e éd., Berne 1992, p. 142). L'erreur peut notamment porter sur l'objet ou l'étendue d'une libéralité (GUINAND/STETTLER, Droit civil II, Successions, Fribourg 1990, p. 40 no 77) ou sur l'omission d'héritiers légaux ou encore de la réserve héréditaire (ESCHER, n. 8 ad art. 469, p. 136/137). L'annulation d'une disposition viciée peut être partielle (RIEMER, Nichtige (unwirksame) Testamente und Erbverträge, in Festschrift für Max Keller, Zurich 1989, p. 258). Dans ce cas, il faut interpréter la volonté hypothétique du testateur pour déterminer ce qui doit subsister (DRUEY, op.cit., p. 148 no 58). cc) L'héritier réservataire qui se considère comme lésé par une disposition de dernière volonté peut, principalement, demander l'annulation de ladite disposition, s'il estime que celle-ci est viciée, et, subsidiairement, sa réduction, l'action en réduction ne pouvant être dirigée que contre une disposition de dernière volonté valable; s'il obtient gain de cause à titre principal, il ne reçoit pas seulement sa réserve, mais bien sa part successorale légale (ESCHER, p. 496 no 3). C'est cette voie que les intimées ont choisi de suivre en concluant, dans l'instance cantonale, principalement à l'annulation de l'article 3 du testament et, subsidiairement, seulement à la réduction des libéralités faites en faveur de leurs frères. La Cour civile a dès lors examiné avec raison en premier lieu la question de la validité de la disposition contestée. Sur ce point, elle a constaté en fait, de manière à lier le Tribunal fédéral ( art. 63 al. 2 OJ ), que le de cujus avait la volonté de traiter sur un pied d'égalité tous ses héritiers, que le montant des rapports qu'il avait fixé à l'article 3 de son testament ne permettait pas de respecter ce principe, retenu comme "fondamental", et que le testateur n'aurait pas imposé de telles valeurs s'il en avait réalisé les conséquences. Cela étant, la cour cantonale, avec raison également, a annulé, pour erreur sur les motifs, la disposition litigieuse dans la mesure où elle concerne le montant des rapports ( ATF 94 II 140 /141). L'annulation étant prononcée, la demande subsidiaire de réduction est devenue sans objet, ce qui dispensait les juges cantonaux de l'examiner.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